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posOffset>3013075</wp:posOffset>
            </wp:positionH>
            <wp:positionV relativeFrom="paragraph">
              <wp:posOffset>71120</wp:posOffset>
            </wp:positionV>
            <wp:extent cx="841375" cy="629285"/>
            <wp:effectExtent l="0" t="0" r="0" b="0"/>
            <wp:wrapNone/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4853" w:leader="none"/>
        </w:tabs>
        <w:spacing w:before="40" w:after="0"/>
        <w:ind w:left="257" w:hanging="0"/>
        <w:rPr>
          <w:rFonts w:ascii="Arial" w:hAnsi="Arial" w:eastAsia="Arial" w:cs="Arial"/>
          <w:sz w:val="23"/>
          <w:szCs w:val="23"/>
        </w:rPr>
      </w:pPr>
      <w:r>
        <w:rPr>
          <w:rFonts w:ascii="SimSun" w:hAnsi="SimSun" w:cs="SimSun"/>
          <w:b/>
          <w:color w:val="231F20"/>
          <w:w w:val="110"/>
          <w:sz w:val="26"/>
          <w:szCs w:val="26"/>
        </w:rPr>
        <w:t>康</w:t>
      </w:r>
      <w:r>
        <w:rPr>
          <w:rFonts w:ascii="Arial" w:hAnsi="Arial" w:cs="Arial" w:eastAsia="Apple LiSung"/>
          <w:b/>
          <w:color w:val="231F20"/>
          <w:spacing w:val="1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谷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中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華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文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化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協</w:t>
      </w:r>
      <w:r>
        <w:rPr>
          <w:rFonts w:ascii="Arial" w:hAnsi="Arial" w:cs="Arial" w:eastAsia="Heiti SC"/>
          <w:b/>
          <w:bCs/>
          <w:color w:val="231F20"/>
          <w:spacing w:val="26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會</w:t>
      </w:r>
      <w:r>
        <w:rPr>
          <w:rFonts w:eastAsia="Heiti SC" w:cs="Heiti SC" w:ascii="Heiti SC" w:hAnsi="Heiti SC"/>
          <w:b/>
          <w:bCs/>
          <w:color w:val="231F20"/>
          <w:w w:val="110"/>
          <w:sz w:val="26"/>
          <w:szCs w:val="26"/>
        </w:rPr>
        <w:tab/>
      </w:r>
      <w:r>
        <w:rPr>
          <w:rFonts w:eastAsia="Arial" w:cs="Arial" w:ascii="Arial" w:hAnsi="Arial"/>
          <w:b/>
          <w:bCs/>
          <w:color w:val="231F20"/>
          <w:spacing w:val="-1"/>
          <w:sz w:val="23"/>
          <w:szCs w:val="23"/>
        </w:rPr>
        <w:t>Conejo Chinese Cultural Association</w:t>
      </w:r>
    </w:p>
    <w:p>
      <w:pPr>
        <w:pStyle w:val="Normal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Heading1"/>
        <w:spacing w:before="62" w:after="0"/>
        <w:ind w:left="257" w:hanging="0"/>
        <w:jc w:val="both"/>
        <w:rPr>
          <w:rFonts w:ascii="宋体" w:hAnsi="宋体" w:eastAsia="宋体" w:cs="Arial" w:asciiTheme="minorEastAsia" w:eastAsiaTheme="minorEastAsia" w:hAnsiTheme="minorEastAsia"/>
          <w:sz w:val="24"/>
          <w:szCs w:val="24"/>
          <w:lang w:eastAsia="zh-CN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親愛的朋友：</w:t>
      </w:r>
    </w:p>
    <w:p>
      <w:pPr>
        <w:pStyle w:val="Normal"/>
        <w:spacing w:before="115" w:after="0"/>
        <w:ind w:left="257" w:right="806" w:firstLine="456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康谷華協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誠摯邀請您和家人，加入这个屬於所有華人的大家庭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。</w:t>
      </w:r>
    </w:p>
    <w:p>
      <w:pPr>
        <w:pStyle w:val="Normal"/>
        <w:ind w:left="257" w:firstLine="456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康谷華協成立於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>1980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年，为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 xml:space="preserve">IRS 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登记立案之非營利機構，其主要功能为提供康谷各界華人语言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、文化、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教育等活動；聯系華人情感；並促进與其他社区之文化交流。</w:t>
      </w:r>
    </w:p>
    <w:p>
      <w:pPr>
        <w:pStyle w:val="Normal"/>
        <w:spacing w:before="28" w:after="0"/>
        <w:ind w:left="257" w:right="10" w:firstLine="456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隨著華人社區的成長，康谷華協所主辦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、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協辦或设立的各项活動（如千橡中文學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32"/>
          <w:sz w:val="24"/>
          <w:szCs w:val="24"/>
          <w:lang w:eastAsia="zh-CN"/>
        </w:rPr>
        <w:t>校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、文化中心、千橡雜誌、新春晚会、露營、專題演講、文藝交流、金齡会聯誼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...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等等）也不斷地增加和擴大。为增进华人影响力及奖励华语文学习，华协也针对高中毕业生设置了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48"/>
          <w:sz w:val="24"/>
          <w:szCs w:val="24"/>
          <w:lang w:eastAsia="zh-CN"/>
        </w:rPr>
        <w:t>優良奖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學金，并于各大高中正式颁奖。有关华协各项活动细节，请查询华协网站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www.ccca-tocs.org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。</w:t>
      </w:r>
    </w:p>
    <w:p>
      <w:pPr>
        <w:pStyle w:val="Normal"/>
        <w:spacing w:before="5" w:after="0"/>
        <w:ind w:left="259" w:right="10" w:firstLine="461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除了中文学校的运作之外，上述相关活動經費，悉数来自會員會費及其他募款。盼望您也加入我們的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行列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,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共襄盛举。只需繳交年费二十元，即可成為華協年度會員，享受一年会籍；繳交四百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元，便可一劳永逸，成為華協永久會員，永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享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会籍。會員每年可享读春秋兩期千橡雜誌、優先报名華協主辦的各項活動、並可參與華協會長及理事的選舉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*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 xml:space="preserve">，共同為華人社區服務；永久會员则可享受更高等级權利。詳細資料请至華協網站 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 xml:space="preserve">www.ccca-tocs.org 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查询。</w:t>
      </w:r>
    </w:p>
    <w:p>
      <w:pPr>
        <w:pStyle w:val="Normal"/>
        <w:spacing w:before="11" w:after="0"/>
        <w:rPr/>
      </w:pP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 xml:space="preserve">    </w:t>
      </w: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>*</w:t>
      </w:r>
      <w:r>
        <w:rPr>
          <w:rFonts w:ascii="宋体" w:hAnsi="宋体" w:cs="Arial" w:eastAsia="宋体" w:asciiTheme="minorEastAsia" w:eastAsiaTheme="minorEastAsia" w:hAnsiTheme="minorEastAsia"/>
          <w:sz w:val="24"/>
          <w:szCs w:val="24"/>
          <w:lang w:eastAsia="zh-CN"/>
        </w:rPr>
        <w:t>有关华协各项选举细节，请咨询现任秘书</w:t>
      </w: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>&lt;</w:t>
      </w:r>
      <w:r>
        <w:rPr>
          <w:rFonts w:eastAsia="宋体" w:cs="Arial" w:ascii="宋体" w:hAnsi="宋体" w:asciiTheme="minorEastAsia" w:eastAsiaTheme="minorEastAsia" w:hAnsiTheme="minorEastAsia"/>
          <w:color w:val="000000"/>
          <w:sz w:val="24"/>
          <w:szCs w:val="24"/>
          <w:u w:val="single"/>
          <w:lang w:eastAsia="zh-CN"/>
        </w:rPr>
        <w:t>secretary@ccca-tocs.org</w:t>
      </w: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 xml:space="preserve">&gt; </w:t>
      </w:r>
    </w:p>
    <w:p>
      <w:pPr>
        <w:pStyle w:val="Normal"/>
        <w:spacing w:before="11" w:after="0"/>
        <w:rPr/>
      </w:pPr>
      <w:r>
        <w:rPr>
          <w:rFonts w:eastAsia="宋体" w:cs="Arial" w:ascii="宋体" w:hAnsi="宋体" w:eastAsiaTheme="minorEastAsia"/>
          <w:sz w:val="24"/>
          <w:szCs w:val="24"/>
          <w:lang w:eastAsia="zh-CN"/>
        </w:rPr>
        <w:t xml:space="preserve">    </w:t>
      </w:r>
      <w:r>
        <w:rPr>
          <w:rFonts w:ascii="宋体" w:hAnsi="宋体" w:cs="Arial" w:eastAsia="宋体" w:asciiTheme="minorEastAsia" w:hAnsiTheme="minorEastAsia"/>
          <w:sz w:val="24"/>
          <w:szCs w:val="24"/>
          <w:lang w:eastAsia="zh-CN"/>
        </w:rPr>
        <w:t>任何问题，请邮件咨询</w:t>
      </w:r>
      <w:r>
        <w:rPr>
          <w:rFonts w:eastAsia="宋体" w:cs="Arial" w:ascii="宋体" w:hAnsi="宋体" w:eastAsiaTheme="minorEastAsia"/>
          <w:sz w:val="24"/>
          <w:szCs w:val="24"/>
          <w:lang w:eastAsia="zh-CN"/>
        </w:rPr>
        <w:t>&lt;</w:t>
      </w:r>
      <w:hyperlink r:id="rId3">
        <w:r>
          <w:rPr>
            <w:rStyle w:val="ListLabel8"/>
            <w:rFonts w:eastAsia="宋体" w:cs="Arial" w:ascii="宋体" w:hAnsi="宋体" w:asciiTheme="minorEastAsia" w:eastAsiaTheme="minorEastAsia" w:hAnsiTheme="minorEastAsia"/>
            <w:color w:val="231F20"/>
            <w:spacing w:val="-1"/>
            <w:sz w:val="24"/>
            <w:szCs w:val="24"/>
            <w:lang w:eastAsia="zh-CN"/>
          </w:rPr>
          <w:t>info@ccca-tocs.</w:t>
        </w:r>
      </w:hyperlink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org&gt;</w:t>
      </w:r>
    </w:p>
    <w:p>
      <w:pPr>
        <w:pStyle w:val="Normal"/>
        <w:spacing w:before="11" w:after="0"/>
        <w:rPr>
          <w:rFonts w:ascii="宋体" w:hAnsi="宋体" w:eastAsia="宋体" w:cs="Arial" w:asciiTheme="minorEastAsia" w:eastAsiaTheme="minorEastAsia" w:hAnsiTheme="minorEastAsia"/>
          <w:sz w:val="24"/>
          <w:szCs w:val="24"/>
          <w:lang w:eastAsia="zh-CN"/>
        </w:rPr>
      </w:pPr>
      <w:r>
        <w:rPr>
          <w:rFonts w:eastAsia="宋体" w:cs="Arial" w:eastAsiaTheme="minorEastAsia" w:ascii="宋体" w:hAnsi="宋体"/>
          <w:sz w:val="24"/>
          <w:szCs w:val="24"/>
          <w:lang w:eastAsia="zh-CN"/>
        </w:rPr>
      </w:r>
    </w:p>
    <w:p>
      <w:pPr>
        <w:pStyle w:val="Heading1"/>
        <w:pBdr>
          <w:bottom w:val="single" w:sz="6" w:space="1" w:color="000000"/>
        </w:pBdr>
        <w:ind w:left="714" w:right="6254" w:hanging="0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>
          <w:rFonts w:eastAsia="宋体" w:cs="Arial" w:eastAsiaTheme="minorEastAsia" w:ascii="宋体" w:hAnsi="宋体"/>
          <w:color w:val="231F20"/>
          <w:sz w:val="24"/>
          <w:szCs w:val="24"/>
          <w:lang w:eastAsia="zh-CN"/>
        </w:rPr>
      </w:r>
    </w:p>
    <w:p>
      <w:pPr>
        <w:pStyle w:val="Heading1"/>
        <w:pBdr>
          <w:bottom w:val="single" w:sz="6" w:space="1" w:color="000000"/>
        </w:pBdr>
        <w:ind w:left="714" w:right="6254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康谷中華文化協会敬邀</w:t>
      </w:r>
    </w:p>
    <w:p>
      <w:pPr>
        <w:pStyle w:val="Heading1"/>
        <w:spacing w:before="119" w:after="0"/>
        <w:ind w:left="257" w:hanging="0"/>
        <w:jc w:val="both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>
          <w:rFonts w:eastAsia="宋体" w:cs="Arial" w:eastAsiaTheme="minorEastAsia" w:ascii="宋体" w:hAnsi="宋体"/>
          <w:color w:val="231F20"/>
          <w:sz w:val="24"/>
          <w:szCs w:val="24"/>
          <w:lang w:eastAsia="zh-CN"/>
        </w:rPr>
      </w:r>
    </w:p>
    <w:p>
      <w:pPr>
        <w:pStyle w:val="Heading1"/>
        <w:spacing w:before="119" w:after="0"/>
        <w:ind w:left="257" w:hanging="0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是的，我希望參加康谷華人協會成為：</w:t>
      </w:r>
    </w:p>
    <w:p>
      <w:pPr>
        <w:pStyle w:val="Normal"/>
        <w:tabs>
          <w:tab w:val="left" w:pos="1294" w:leader="none"/>
        </w:tabs>
        <w:spacing w:before="29" w:after="0"/>
        <w:ind w:left="714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口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ab/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普通會员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 xml:space="preserve">. 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隨信附上二十元支票，作為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2020-2021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年會費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(07/01/2020-06/30/202</w:t>
      </w:r>
      <w:bookmarkStart w:id="0" w:name="_GoBack"/>
      <w:bookmarkEnd w:id="0"/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1)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。</w:t>
      </w:r>
    </w:p>
    <w:p>
      <w:pPr>
        <w:pStyle w:val="Normal"/>
        <w:tabs>
          <w:tab w:val="left" w:pos="1294" w:leader="none"/>
        </w:tabs>
        <w:spacing w:before="40" w:after="0"/>
        <w:ind w:left="714" w:right="3328" w:hanging="0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口 永久會员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 xml:space="preserve">.  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隨信附上四百元支票。</w:t>
      </w:r>
    </w:p>
    <w:p>
      <w:pPr>
        <w:pStyle w:val="Normal"/>
        <w:tabs>
          <w:tab w:val="left" w:pos="1294" w:leader="none"/>
        </w:tabs>
        <w:spacing w:before="40" w:after="0"/>
        <w:ind w:left="720" w:right="720" w:hanging="0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支票抬頭請寫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>CCCA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（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>Conejo Chinese Cultural Association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）</w:t>
      </w:r>
    </w:p>
    <w:p>
      <w:pPr>
        <w:pStyle w:val="Normal"/>
        <w:tabs>
          <w:tab w:val="left" w:pos="1294" w:leader="none"/>
        </w:tabs>
        <w:spacing w:before="40" w:after="0"/>
        <w:ind w:left="714" w:right="3328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</w:rPr>
        <w:t>請寄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: P.O.Box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7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6775,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6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Thousand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7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Oaks,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6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CA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7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91362</w:t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</w:rPr>
        <w:t>姓名（中文）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  <w:tab/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</w:rPr>
        <w:t>姓名（英文）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  <w:tab/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/>
      </w:pPr>
      <w:r>
        <w:rPr>
          <w:rFonts w:eastAsia="宋体" w:cs="Arial" w:ascii="宋体" w:hAnsi="宋体" w:asciiTheme="minorEastAsia" w:eastAsiaTheme="minorEastAsia" w:hAnsiTheme="minorEastAsia"/>
          <w:color w:val="231F20"/>
          <w:spacing w:val="-2"/>
          <w:w w:val="105"/>
          <w:sz w:val="24"/>
          <w:szCs w:val="24"/>
        </w:rPr>
        <w:t>E-Mail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w w:val="105"/>
          <w:sz w:val="24"/>
          <w:szCs w:val="24"/>
        </w:rPr>
        <w:t>: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  <w:tab/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5"/>
          <w:sz w:val="24"/>
          <w:szCs w:val="24"/>
        </w:rPr>
        <w:t xml:space="preserve"> </w:t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>
          <w:rFonts w:ascii="宋体" w:hAnsi="宋体" w:eastAsia="宋体" w:cs="Arial" w:asciiTheme="minorEastAsia" w:eastAsiaTheme="minorEastAsia" w:hAnsiTheme="minorEastAsia"/>
          <w:sz w:val="24"/>
          <w:szCs w:val="24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  <w:lang w:eastAsia="zh-CN"/>
        </w:rPr>
        <w:t>联</w:t>
      </w: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</w:rPr>
        <w:t>絡地址：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  <w:tab/>
      </w:r>
    </w:p>
    <w:p>
      <w:pPr>
        <w:pStyle w:val="Normal"/>
        <w:tabs>
          <w:tab w:val="left" w:pos="8432" w:leader="none"/>
        </w:tabs>
        <w:spacing w:before="76" w:after="0"/>
        <w:ind w:left="714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联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</w:rPr>
        <w:t>絡電話：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/>
      </w:pP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ab/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>
          <w:rFonts w:ascii="宋体" w:hAnsi="宋体" w:eastAsia="宋体" w:cs="Arial" w:asciiTheme="minorEastAsia" w:eastAsiaTheme="minorEastAsia" w:hAnsiTheme="minorEastAsia"/>
          <w:color w:val="231F20"/>
          <w:spacing w:val="-1"/>
          <w:sz w:val="24"/>
          <w:szCs w:val="24"/>
        </w:rPr>
      </w:pPr>
      <w:r>
        <w:rPr>
          <w:rFonts w:eastAsia="宋体" w:cs="Arial" w:eastAsiaTheme="minorEastAsia" w:ascii="宋体" w:hAnsi="宋体"/>
          <w:color w:val="231F20"/>
          <w:spacing w:val="-1"/>
          <w:sz w:val="24"/>
          <w:szCs w:val="24"/>
        </w:rPr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>
          <w:rFonts w:ascii="宋体" w:hAnsi="宋体" w:eastAsia="宋体" w:cs="Arial" w:asciiTheme="minorEastAsia" w:eastAsiaTheme="minorEastAsia" w:hAnsiTheme="minorEastAsia"/>
          <w:color w:val="231F20"/>
          <w:spacing w:val="-1"/>
          <w:sz w:val="24"/>
          <w:szCs w:val="24"/>
        </w:rPr>
      </w:pPr>
      <w:r>
        <w:rPr>
          <w:rFonts w:eastAsia="宋体" w:cs="Arial" w:eastAsiaTheme="minorEastAsia" w:ascii="宋体" w:hAnsi="宋体"/>
          <w:color w:val="231F20"/>
          <w:spacing w:val="-1"/>
          <w:sz w:val="24"/>
          <w:szCs w:val="24"/>
        </w:rPr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>
          <w:rFonts w:ascii="宋体" w:hAnsi="宋体" w:eastAsia="宋体" w:cs="Arial" w:asciiTheme="minorEastAsia" w:eastAsiaTheme="minorEastAsia" w:hAnsiTheme="minorEastAsia"/>
          <w:color w:val="231F20"/>
          <w:spacing w:val="-1"/>
          <w:sz w:val="24"/>
          <w:szCs w:val="24"/>
        </w:rPr>
      </w:pPr>
      <w:r>
        <w:rPr>
          <w:rFonts w:eastAsia="宋体" w:cs="Arial" w:eastAsiaTheme="minorEastAsia" w:ascii="宋体" w:hAnsi="宋体"/>
          <w:color w:val="231F20"/>
          <w:spacing w:val="-1"/>
          <w:sz w:val="24"/>
          <w:szCs w:val="24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The CONEJO CHINESE CULTURAL ASSOCIATION (CCCA)</w:t>
      </w:r>
    </w:p>
    <w:p>
      <w:pPr>
        <w:pStyle w:val="NoSpacing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Regular Membership, Lifetime Membership and CCCA Patron Program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/>
      </w:pPr>
      <w:r>
        <w:rPr/>
        <w:t>A. Regular Member: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</w:t>
      </w:r>
      <w:r>
        <w:rPr/>
        <w:t>1. Enjoy rights to vote and eligibility to run for elections, as defined by the CCCA Bylaws.</w:t>
      </w:r>
    </w:p>
    <w:p>
      <w:pPr>
        <w:pStyle w:val="NoSpacing"/>
        <w:rPr/>
      </w:pPr>
      <w:r>
        <w:rPr/>
        <w:t xml:space="preserve">     </w:t>
      </w:r>
      <w:r>
        <w:rPr/>
        <w:t>2. Access to all events sponsored by CCCA.</w:t>
      </w:r>
    </w:p>
    <w:p>
      <w:pPr>
        <w:pStyle w:val="NoSpacing"/>
        <w:rPr/>
      </w:pPr>
      <w:r>
        <w:rPr/>
        <w:t xml:space="preserve">     </w:t>
      </w:r>
      <w:r>
        <w:rPr/>
        <w:t>3. Enjoy two complimentary editions of CCCA Journal.</w:t>
      </w:r>
    </w:p>
    <w:p>
      <w:pPr>
        <w:pStyle w:val="NoSpacing"/>
        <w:rPr/>
      </w:pPr>
      <w:r>
        <w:rPr/>
        <w:t xml:space="preserve">     </w:t>
      </w:r>
      <w:r>
        <w:rPr/>
        <w:t>4. The regular membership due is $20 per family, with membership valid from July 1</w:t>
      </w:r>
      <w:r>
        <w:rPr>
          <w:vertAlign w:val="superscript"/>
        </w:rPr>
        <w:t>st</w:t>
      </w:r>
      <w:r>
        <w:rPr/>
        <w:t xml:space="preserve"> of the year, to June 30</w:t>
      </w:r>
      <w:r>
        <w:rPr>
          <w:vertAlign w:val="superscript"/>
        </w:rPr>
        <w:t>st</w:t>
      </w:r>
      <w:r>
        <w:rPr/>
        <w:t xml:space="preserve"> of the following year.</w:t>
      </w:r>
    </w:p>
    <w:p>
      <w:pPr>
        <w:pStyle w:val="NoSpacing"/>
        <w:rPr/>
      </w:pPr>
      <w:r>
        <w:rPr/>
        <w:t xml:space="preserve">     </w:t>
      </w:r>
      <w:r>
        <w:rPr/>
        <w:t>5. Every family of Thousand Oaks Chinese School students is required to pay the CCCA annual membership fee at registration, and enjoy the Regular Membership of that year.</w:t>
      </w:r>
    </w:p>
    <w:p>
      <w:pPr>
        <w:pStyle w:val="NoSpacing"/>
        <w:rPr/>
      </w:pPr>
      <w:r>
        <w:rPr/>
        <w:t xml:space="preserve">     </w:t>
      </w:r>
    </w:p>
    <w:p>
      <w:pPr>
        <w:pStyle w:val="NoSpacing"/>
        <w:rPr/>
      </w:pPr>
      <w:r>
        <w:rPr/>
        <w:t>B. Lifetime Member:</w:t>
      </w:r>
    </w:p>
    <w:p>
      <w:pPr>
        <w:pStyle w:val="NoSpacing"/>
        <w:rPr/>
      </w:pPr>
      <w:r>
        <w:rPr/>
      </w:r>
    </w:p>
    <w:p>
      <w:pPr>
        <w:pStyle w:val="NoSpacing"/>
        <w:ind w:firstLine="195"/>
        <w:rPr/>
      </w:pPr>
      <w:r>
        <w:rPr/>
        <w:t>1. Enjoy all the rights and privileges as are provided to the CCCA Regular Membership.</w:t>
      </w:r>
    </w:p>
    <w:p>
      <w:pPr>
        <w:pStyle w:val="NoSpacing"/>
        <w:ind w:firstLine="195"/>
        <w:rPr/>
      </w:pPr>
      <w:r>
        <w:rPr/>
        <w:t>2. Enjoy early notification and ticket pre-sale on major CCCA events for preferred seating options.</w:t>
      </w:r>
    </w:p>
    <w:p>
      <w:pPr>
        <w:pStyle w:val="NoSpacing"/>
        <w:ind w:firstLine="195"/>
        <w:rPr/>
      </w:pPr>
      <w:r>
        <w:rPr/>
        <w:t>3. Enjoy honorary recognition in every edition of CCCA Journal.</w:t>
      </w:r>
    </w:p>
    <w:p>
      <w:pPr>
        <w:pStyle w:val="NoSpacing"/>
        <w:ind w:firstLine="195"/>
        <w:rPr/>
      </w:pPr>
      <w:r>
        <w:rPr/>
        <w:t>4. The Lifetime Membership fee is $400, and good for lifetime.</w:t>
      </w:r>
    </w:p>
    <w:p>
      <w:pPr>
        <w:pStyle w:val="NoSpacing"/>
        <w:ind w:firstLine="195"/>
        <w:rPr/>
      </w:pPr>
      <w:r>
        <w:rPr/>
        <w:t xml:space="preserve">5. For Lifetime Members with children attending Thousand Oaks Chinese School, </w:t>
      </w:r>
      <w:r>
        <w:rPr/>
        <w:t>no CCCA membership fee</w:t>
      </w:r>
      <w:r>
        <w:rPr/>
        <w:t xml:space="preserve"> will be </w:t>
      </w:r>
      <w:r>
        <w:rPr/>
        <w:t>charged at</w:t>
      </w:r>
      <w:r>
        <w:rPr/>
        <w:t xml:space="preserve"> registration.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rPr/>
      </w:pPr>
      <w:r>
        <w:rPr/>
        <w:t>C. CCCA Patron:</w:t>
      </w:r>
    </w:p>
    <w:p>
      <w:pPr>
        <w:pStyle w:val="NoSpacing"/>
        <w:rPr/>
      </w:pPr>
      <w:r>
        <w:rPr/>
      </w:r>
    </w:p>
    <w:p>
      <w:pPr>
        <w:pStyle w:val="NoSpacing"/>
        <w:ind w:firstLine="195"/>
        <w:rPr/>
      </w:pPr>
      <w:r>
        <w:rPr/>
        <w:t>1. All donations are gladly accepted and are tax deductible.</w:t>
      </w:r>
    </w:p>
    <w:p>
      <w:pPr>
        <w:pStyle w:val="NoSpacing"/>
        <w:ind w:firstLine="195"/>
        <w:rPr/>
      </w:pPr>
      <w:r>
        <w:rPr/>
        <w:t>2. Donors receive honorary recognition in CCCA Journal.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All fees are non-refundable and non-transferable. 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Please email </w:t>
      </w:r>
      <w:hyperlink r:id="rId4">
        <w:r>
          <w:rPr>
            <w:rStyle w:val="InternetLink"/>
            <w:color w:val="000000"/>
            <w:u w:val="none"/>
          </w:rPr>
          <w:t>info@ccca-tocs.org</w:t>
        </w:r>
      </w:hyperlink>
      <w:r>
        <w:rPr/>
        <w:t xml:space="preserve"> for any questions</w:t>
      </w:r>
    </w:p>
    <w:p>
      <w:pPr>
        <w:pStyle w:val="NoSpacing"/>
        <w:numPr>
          <w:ilvl w:val="0"/>
          <w:numId w:val="0"/>
        </w:numPr>
        <w:ind w:left="555" w:hanging="0"/>
        <w:rPr/>
      </w:pPr>
      <w:r>
        <w:rPr/>
      </w:r>
    </w:p>
    <w:p>
      <w:pPr>
        <w:pStyle w:val="NoSpacing"/>
        <w:pBdr>
          <w:bottom w:val="single" w:sz="6" w:space="1" w:color="000000"/>
        </w:pBdr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Chinese Name: ____________________________________________________________________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English Name:  ____________________________________________________________________</w:t>
      </w:r>
    </w:p>
    <w:p>
      <w:pPr>
        <w:pStyle w:val="NoSpacing"/>
        <w:ind w:firstLine="195"/>
        <w:rPr/>
      </w:pPr>
      <w:r>
        <w:rPr/>
        <w:t xml:space="preserve"> </w:t>
      </w:r>
    </w:p>
    <w:p>
      <w:pPr>
        <w:pStyle w:val="NoSpacing"/>
        <w:ind w:firstLine="195"/>
        <w:rPr/>
      </w:pPr>
      <w:r>
        <w:rPr/>
        <w:t>Address:          _____________________________________________________________________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Phone:    (H) __________________________________(C) 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Email:            ______________________________________________________________________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>
          <w:rFonts w:eastAsia="MS Gothic" w:ascii="MS Gothic" w:hAnsi="MS Gothic"/>
        </w:rPr>
        <w:t>☐</w:t>
      </w:r>
      <w:r>
        <w:rPr/>
        <w:tab/>
        <w:t>I would like to become a CCCA Regular Member. A check of $20 is enclosed.</w:t>
      </w:r>
    </w:p>
    <w:p>
      <w:pPr>
        <w:pStyle w:val="NoSpacing"/>
        <w:ind w:firstLine="195"/>
        <w:rPr/>
      </w:pPr>
      <w:r>
        <w:rPr>
          <w:rFonts w:eastAsia="MS Gothic" w:ascii="MS Gothic" w:hAnsi="MS Gothic"/>
        </w:rPr>
        <w:t>☐</w:t>
      </w:r>
      <w:r>
        <w:rPr/>
        <w:t xml:space="preserve"> </w:t>
      </w:r>
      <w:r>
        <w:rPr/>
        <w:tab/>
        <w:t>I would like to become a CCCA Lifetime Member. A check of $400 is enclosed.</w:t>
      </w:r>
    </w:p>
    <w:p>
      <w:pPr>
        <w:pStyle w:val="NoSpacing"/>
        <w:ind w:firstLine="195"/>
        <w:rPr/>
      </w:pPr>
      <w:r>
        <w:rPr>
          <w:rFonts w:eastAsia="MS Gothic" w:ascii="MS Gothic" w:hAnsi="MS Gothic"/>
        </w:rPr>
        <w:t>☐</w:t>
      </w:r>
      <w:r>
        <w:rPr/>
        <w:tab/>
        <w:t>I would like to become a CCCA Patron. A check of $____________ is enclosed.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hanging="0"/>
        <w:rPr/>
      </w:pPr>
      <w:r>
        <w:rPr/>
        <w:t>Signature _____________________________________ Date 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 xml:space="preserve">Please make check payable to CCCA, and mail it with this form to </w:t>
      </w:r>
    </w:p>
    <w:p>
      <w:pPr>
        <w:pStyle w:val="NoSpacing"/>
        <w:ind w:firstLine="195"/>
        <w:rPr/>
      </w:pPr>
      <w:r>
        <w:rPr/>
        <w:t>P.O. Box 6775, Thousand Oaks, CA 91362</w:t>
      </w:r>
    </w:p>
    <w:p>
      <w:pPr>
        <w:pStyle w:val="NoSpacing"/>
        <w:numPr>
          <w:ilvl w:val="0"/>
          <w:numId w:val="0"/>
        </w:numPr>
        <w:ind w:left="555" w:hanging="0"/>
        <w:rPr/>
      </w:pPr>
      <w:r>
        <w:rPr/>
      </w:r>
    </w:p>
    <w:sectPr>
      <w:type w:val="nextPage"/>
      <w:pgSz w:w="12240" w:h="15840"/>
      <w:pgMar w:left="1060" w:right="172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pple LiSung">
    <w:charset w:val="01"/>
    <w:family w:val="roman"/>
    <w:pitch w:val="variable"/>
  </w:font>
  <w:font w:name="Segoe UI">
    <w:charset w:val="01"/>
    <w:family w:val="roman"/>
    <w:pitch w:val="variable"/>
  </w:font>
  <w:font w:name="宋体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imSun">
    <w:charset w:val="01"/>
    <w:family w:val="roman"/>
    <w:pitch w:val="variable"/>
  </w:font>
  <w:font w:name="Arial">
    <w:charset w:val="01"/>
    <w:family w:val="roman"/>
    <w:pitch w:val="variable"/>
  </w:font>
  <w:font w:name="Heiti SC">
    <w:charset w:val="01"/>
    <w:family w:val="roman"/>
    <w:pitch w:val="variable"/>
  </w:font>
  <w:font w:name="MS Gothi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bullet"/>
      <w:lvlText w:val=""/>
      <w:lvlJc w:val="left"/>
      <w:pPr>
        <w:ind w:left="555" w:hanging="360"/>
      </w:pPr>
      <w:rPr>
        <w:rFonts w:ascii="Symbol" w:hAnsi="Symbol" w:cs="Symbol" w:hint="default"/>
        <w:rFonts w:cs="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9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5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7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1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SimSun" w:cs="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714" w:hanging="0"/>
      <w:outlineLvl w:val="0"/>
    </w:pPr>
    <w:rPr>
      <w:rFonts w:ascii="Apple LiSung" w:hAnsi="Apple LiSung" w:eastAsia="Apple LiSung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45e87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77a3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/>
      <w:color w:val="231F20"/>
      <w:sz w:val="21"/>
      <w:szCs w:val="21"/>
    </w:rPr>
  </w:style>
  <w:style w:type="character" w:styleId="ListLabel2">
    <w:name w:val="ListLabel 2"/>
    <w:qFormat/>
    <w:rPr>
      <w:rFonts w:eastAsia="Times New Roman"/>
      <w:color w:val="231F20"/>
      <w:sz w:val="21"/>
      <w:szCs w:val="21"/>
    </w:rPr>
  </w:style>
  <w:style w:type="character" w:styleId="ListLabel3">
    <w:name w:val="ListLabel 3"/>
    <w:qFormat/>
    <w:rPr>
      <w:rFonts w:eastAsia="Times New Roman"/>
      <w:color w:val="231F20"/>
      <w:sz w:val="21"/>
      <w:szCs w:val="21"/>
    </w:rPr>
  </w:style>
  <w:style w:type="character" w:styleId="ListLabel4">
    <w:name w:val="ListLabel 4"/>
    <w:qFormat/>
    <w:rPr>
      <w:rFonts w:eastAsia="宋体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9">
    <w:name w:val="ListLabel 9"/>
    <w:qFormat/>
    <w:rPr/>
  </w:style>
  <w:style w:type="character" w:styleId="ListLabel10">
    <w:name w:val="ListLabel 10"/>
    <w:qFormat/>
    <w:rPr>
      <w:rFonts w:cs="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rFonts w:cs="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31">
    <w:name w:val="ListLabel 31"/>
    <w:qFormat/>
    <w:rPr/>
  </w:style>
  <w:style w:type="character" w:styleId="ListLabel32">
    <w:name w:val="ListLabel 32"/>
    <w:qFormat/>
    <w:rPr>
      <w:rFonts w:cs="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42">
    <w:name w:val="ListLabel 42"/>
    <w:qFormat/>
    <w:rPr>
      <w:color w:val="000000"/>
      <w:u w:val="single"/>
    </w:rPr>
  </w:style>
  <w:style w:type="character" w:styleId="ListLabel43">
    <w:name w:val="ListLabel 43"/>
    <w:qFormat/>
    <w:rPr>
      <w:rFonts w:cs="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  <w:lang w:eastAsia="zh-CN"/>
    </w:rPr>
  </w:style>
  <w:style w:type="character" w:styleId="ListLabel53">
    <w:name w:val="ListLabel 53"/>
    <w:qFormat/>
    <w:rPr>
      <w:color w:val="000000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8" w:after="0"/>
      <w:ind w:left="1045" w:hanging="346"/>
    </w:pPr>
    <w:rPr>
      <w:rFonts w:ascii="Times New Roman" w:hAnsi="Times New Roman" w:eastAsia="Times New Roman"/>
      <w:sz w:val="21"/>
      <w:szCs w:val="21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7a31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2b97"/>
    <w:pPr>
      <w:widowControl/>
      <w:bidi w:val="0"/>
      <w:jc w:val="left"/>
    </w:pPr>
    <w:rPr>
      <w:rFonts w:ascii="Calibri" w:hAnsi="Calibri" w:eastAsia="宋体" w:cs="" w:eastAsiaTheme="minorEastAsia"/>
      <w:color w:val="auto"/>
      <w:kern w:val="0"/>
      <w:sz w:val="22"/>
      <w:szCs w:val="22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cca_tocs@yahoo.com" TargetMode="External"/><Relationship Id="rId4" Type="http://schemas.openxmlformats.org/officeDocument/2006/relationships/hyperlink" Target="mailto:info@ccca-tocs.or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LibreOffice/6.0.7.3$Linux_X86_64 LibreOffice_project/00m0$Build-3</Application>
  <Pages>2</Pages>
  <Words>899</Words>
  <Characters>2665</Characters>
  <CharactersWithSpaces>3040</CharactersWithSpaces>
  <Paragraphs>52</Paragraphs>
  <Company>CVUSD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2017-08-16T21:11:00Z</dcterms:created>
  <dc:creator>Chen, Li</dc:creator>
  <dc:description/>
  <dc:language>en-US</dc:language>
  <cp:lastModifiedBy/>
  <cp:lastPrinted>2015-08-26T23:26:00Z</cp:lastPrinted>
  <dcterms:modified xsi:type="dcterms:W3CDTF">2020-09-12T20:31:04Z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CVUSD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